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ACF72" w14:textId="6F0509E7" w:rsidR="00391964" w:rsidRDefault="00391964" w:rsidP="00841933">
      <w:pPr>
        <w:pStyle w:val="NoSpacing"/>
      </w:pPr>
      <w:bookmarkStart w:id="0" w:name="_GoBack"/>
    </w:p>
    <w:bookmarkEnd w:id="0"/>
    <w:p w14:paraId="4AD730E2" w14:textId="77777777" w:rsidR="00CC496A" w:rsidRPr="00CC496A" w:rsidRDefault="00CC496A" w:rsidP="00CC4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  <w:t>§ 105.237 System for seafarers' access.</w:t>
      </w:r>
    </w:p>
    <w:p w14:paraId="3C7B21CC" w14:textId="1F9E8A98" w:rsidR="00CC496A" w:rsidRPr="00CC496A" w:rsidRDefault="00CC496A" w:rsidP="00CC49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(a)</w:t>
      </w:r>
      <w:r w:rsidRPr="00CC496A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Access required.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Each </w:t>
      </w:r>
      <w:hyperlink r:id="rId7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hyperlink r:id="rId8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owner or operator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must implement a system by June 1, 2020 for providing access through the </w:t>
      </w:r>
      <w:hyperlink r:id="rId9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that enables individuals to transit to and from a </w:t>
      </w:r>
      <w:hyperlink r:id="rId10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moored at the </w:t>
      </w:r>
      <w:hyperlink r:id="rId11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and the </w:t>
      </w:r>
      <w:hyperlink r:id="rId12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="001C6D6D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gate in accordance with the requirements in this section. The system must provide timely access as described in </w:t>
      </w:r>
      <w:hyperlink r:id="rId13" w:anchor="c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paragraph (c)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of this section and incorporate the access methods described in </w:t>
      </w:r>
      <w:hyperlink r:id="rId14" w:anchor="d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paragraph (d)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of this section at no cost to the individuals covered. The system must comply with the Transportation Worker Identification Credential (TWIC) provisions in this part.</w:t>
      </w:r>
    </w:p>
    <w:p w14:paraId="5ACC64D3" w14:textId="77777777" w:rsidR="00CC496A" w:rsidRPr="00CC496A" w:rsidRDefault="00CC496A" w:rsidP="00CC49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(b)</w:t>
      </w:r>
      <w:r w:rsidRPr="00CC496A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Individuals covered.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The individuals to whom the </w:t>
      </w:r>
      <w:hyperlink r:id="rId15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hyperlink r:id="rId16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owner or operator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must provide the access described in this section include -</w:t>
      </w:r>
    </w:p>
    <w:p w14:paraId="6E44EB0F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(1)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Seafarers assigned to a </w:t>
      </w:r>
      <w:hyperlink r:id="rId17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at that </w:t>
      </w:r>
      <w:hyperlink r:id="rId18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;</w:t>
      </w:r>
    </w:p>
    <w:p w14:paraId="64FA9AAE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(2)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Pilots; and</w:t>
      </w:r>
    </w:p>
    <w:p w14:paraId="7D0CE557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(3)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Representatives of seafarers' welfare and labor organizations.</w:t>
      </w:r>
    </w:p>
    <w:p w14:paraId="72C73C87" w14:textId="77777777" w:rsidR="00CC496A" w:rsidRPr="00CC496A" w:rsidRDefault="00CC496A" w:rsidP="00CC49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(c)</w:t>
      </w:r>
      <w:r w:rsidRPr="00CC496A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Timely access.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The </w:t>
      </w:r>
      <w:hyperlink r:id="rId19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hyperlink r:id="rId20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owner or operator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must provide the access described in this section without unreasonable delay, subject to review by the </w:t>
      </w:r>
      <w:hyperlink r:id="rId21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Captain of the Port (COTP)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. The </w:t>
      </w:r>
      <w:hyperlink r:id="rId22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hyperlink r:id="rId23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owner or operator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must consider the following when establishing timely access without unreasonable delay:</w:t>
      </w:r>
    </w:p>
    <w:p w14:paraId="606A060B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(1)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Length of time the </w:t>
      </w:r>
      <w:hyperlink r:id="rId24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is in port.</w:t>
      </w:r>
    </w:p>
    <w:p w14:paraId="5E76CFB3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(2)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Distance of egress/ingress between the </w:t>
      </w:r>
      <w:hyperlink r:id="rId25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and </w:t>
      </w:r>
      <w:hyperlink r:id="rId26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gate.</w:t>
      </w:r>
    </w:p>
    <w:p w14:paraId="0F0B01F6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(3)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The </w:t>
      </w:r>
      <w:hyperlink r:id="rId27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watch schedules.</w:t>
      </w:r>
    </w:p>
    <w:p w14:paraId="3456FE7A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(4)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The </w:t>
      </w:r>
      <w:hyperlink r:id="rId28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's safety and security procedures as required by law.</w:t>
      </w:r>
    </w:p>
    <w:p w14:paraId="086D6C6F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(5)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Any other factors specific to the </w:t>
      </w:r>
      <w:hyperlink r:id="rId29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or </w:t>
      </w:r>
      <w:hyperlink r:id="rId30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that could affect access to and from the </w:t>
      </w:r>
      <w:hyperlink r:id="rId31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14:paraId="68E59731" w14:textId="77777777" w:rsidR="00CC496A" w:rsidRPr="00CC496A" w:rsidRDefault="00CC496A" w:rsidP="00CC49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(d)</w:t>
      </w:r>
      <w:r w:rsidRPr="00CC496A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Access methods.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The </w:t>
      </w:r>
      <w:hyperlink r:id="rId32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hyperlink r:id="rId33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owner or operator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must ensure that the access described in this section is provided through one or more of the following methods:</w:t>
      </w:r>
    </w:p>
    <w:p w14:paraId="4AE62DD5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(1)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Regularly scheduled escort between the </w:t>
      </w:r>
      <w:hyperlink r:id="rId34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and the </w:t>
      </w:r>
      <w:hyperlink r:id="rId35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gate that conforms to the </w:t>
      </w:r>
      <w:hyperlink r:id="rId36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's watch schedule as agreed upon between the </w:t>
      </w:r>
      <w:hyperlink r:id="rId37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and </w:t>
      </w:r>
      <w:hyperlink r:id="rId38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14:paraId="7B7927F5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(2)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 on-call escort between the </w:t>
      </w:r>
      <w:hyperlink r:id="rId39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and the </w:t>
      </w:r>
      <w:hyperlink r:id="rId40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gate.</w:t>
      </w:r>
    </w:p>
    <w:p w14:paraId="71FECB33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(3)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 xml:space="preserve"> Arrangements with taxi services or other transportation services, ensuring that any costs for providing the access described in this section, 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above the service's standard fees charged to any customer, are not charged to the individual to whom such access is provided. If a </w:t>
      </w:r>
      <w:hyperlink r:id="rId41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provides arrangements with taxi services or other transportation services as the only method for providing the access described in this section, the </w:t>
      </w:r>
      <w:hyperlink r:id="rId42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is responsible to pay any fees for transit within the </w:t>
      </w:r>
      <w:hyperlink r:id="rId43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14:paraId="56C664A1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(4)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Arrangements with seafarers' welfare organizations to facilitate the access described in this section.</w:t>
      </w:r>
    </w:p>
    <w:p w14:paraId="140F4D22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(5)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Monitored pedestrian access routes between the </w:t>
      </w:r>
      <w:hyperlink r:id="rId44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vessel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and </w:t>
      </w:r>
      <w:hyperlink r:id="rId45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gate.</w:t>
      </w:r>
    </w:p>
    <w:p w14:paraId="2A0EC042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(6)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 method, other than those in paragraphs (d)(1) through (5) of this section, approved by the </w:t>
      </w:r>
      <w:hyperlink r:id="rId46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COTP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14:paraId="12F27294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(7)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If an access method relies on a third party, a back-up access method that will be used if the third party is unable to or does not provide the required access in any instance. An </w:t>
      </w:r>
      <w:hyperlink r:id="rId47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owner or operator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must ensure that the access required in </w:t>
      </w:r>
      <w:hyperlink r:id="rId48" w:anchor="a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paragraph (a)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of this section is actually provided in all instances.</w:t>
      </w:r>
    </w:p>
    <w:p w14:paraId="7A225FFE" w14:textId="77777777" w:rsidR="00CC496A" w:rsidRPr="00CC496A" w:rsidRDefault="00CC496A" w:rsidP="00CC49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(e)</w:t>
      </w:r>
      <w:r w:rsidRPr="00CC496A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No cost to individuals.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The </w:t>
      </w:r>
      <w:hyperlink r:id="rId49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hyperlink r:id="rId50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owner or operator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must provide the access described in this section at no cost to the individual to whom such access is provided.</w:t>
      </w:r>
    </w:p>
    <w:p w14:paraId="13C99760" w14:textId="77777777" w:rsidR="00CC496A" w:rsidRPr="00CC496A" w:rsidRDefault="00CC496A" w:rsidP="00CC496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(f)</w:t>
      </w:r>
      <w:r w:rsidRPr="00CC496A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Described in the Facility Security Plan (FSP).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On or before February 3, 2020, the </w:t>
      </w:r>
      <w:hyperlink r:id="rId51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hyperlink r:id="rId52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owner or operator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must document the </w:t>
      </w:r>
      <w:hyperlink r:id="rId53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's system for providing the access described in this section in the approved </w:t>
      </w:r>
      <w:hyperlink r:id="rId54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FSP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in accordance with </w:t>
      </w:r>
      <w:hyperlink r:id="rId55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§ 105.410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or </w:t>
      </w:r>
      <w:hyperlink r:id="rId56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§ 105.415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. The description of the </w:t>
      </w:r>
      <w:hyperlink r:id="rId57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's system must include -</w:t>
      </w:r>
    </w:p>
    <w:p w14:paraId="37C0FA58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(1)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Location of transit area(s) used for providing the access described in this section;</w:t>
      </w:r>
    </w:p>
    <w:p w14:paraId="0150CBDA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(2)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Duties and number of </w:t>
      </w:r>
      <w:hyperlink r:id="rId58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personnel assigned to each duty associated with providing the access described in this section;</w:t>
      </w:r>
    </w:p>
    <w:p w14:paraId="13A9216C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(3)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Methods of </w:t>
      </w:r>
      <w:hyperlink r:id="rId59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escorting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and/or monitoring individuals transiting through the </w:t>
      </w:r>
      <w:hyperlink r:id="rId60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;</w:t>
      </w:r>
    </w:p>
    <w:p w14:paraId="5A73DAB1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(4)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Agreements or arrangements between the </w:t>
      </w:r>
      <w:hyperlink r:id="rId61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facility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and private parties, nonprofit organizations, or other parties, to facilitate the access described in this section; and</w:t>
      </w:r>
    </w:p>
    <w:p w14:paraId="29998EF5" w14:textId="77777777" w:rsidR="00CC496A" w:rsidRPr="00CC496A" w:rsidRDefault="00CC496A" w:rsidP="00CC496A">
      <w:pPr>
        <w:shd w:val="clear" w:color="auto" w:fill="FFFFFF"/>
        <w:spacing w:after="150" w:line="240" w:lineRule="auto"/>
        <w:ind w:left="240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(5)</w:t>
      </w: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 Maximum length of time an individual would wait for the access described in this section, based on the provided access method(s).</w:t>
      </w:r>
    </w:p>
    <w:p w14:paraId="030E164A" w14:textId="77777777" w:rsidR="00CC496A" w:rsidRPr="00CC496A" w:rsidRDefault="00CC496A" w:rsidP="00CC49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[USCG-2013-1087, </w:t>
      </w:r>
      <w:hyperlink r:id="rId62" w:history="1">
        <w:r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84 FR 12119</w:t>
        </w:r>
      </w:hyperlink>
      <w:r w:rsidRPr="00CC496A">
        <w:rPr>
          <w:rFonts w:ascii="Verdana" w:eastAsia="Times New Roman" w:hAnsi="Verdana" w:cs="Times New Roman"/>
          <w:color w:val="333333"/>
          <w:sz w:val="24"/>
          <w:szCs w:val="24"/>
        </w:rPr>
        <w:t>, Apr. 1, 2019]</w:t>
      </w:r>
    </w:p>
    <w:p w14:paraId="2F59CA52" w14:textId="22B378BE" w:rsidR="00391964" w:rsidRDefault="00391964"/>
    <w:p w14:paraId="332E1D62" w14:textId="77777777" w:rsidR="00CC496A" w:rsidRPr="00CC496A" w:rsidRDefault="00841933" w:rsidP="00CC496A">
      <w:pPr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4"/>
          <w:szCs w:val="24"/>
        </w:rPr>
      </w:pPr>
      <w:hyperlink r:id="rId63" w:history="1">
        <w:r w:rsidR="00CC496A"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br/>
        </w:r>
        <w:proofErr w:type="spellStart"/>
        <w:r w:rsidR="00CC496A"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prev</w:t>
        </w:r>
        <w:proofErr w:type="spellEnd"/>
      </w:hyperlink>
      <w:r w:rsidR="00CC496A" w:rsidRPr="00CC496A">
        <w:rPr>
          <w:rFonts w:ascii="Verdana" w:eastAsia="Times New Roman" w:hAnsi="Verdana" w:cs="Times New Roman"/>
          <w:color w:val="333333"/>
          <w:sz w:val="24"/>
          <w:szCs w:val="24"/>
        </w:rPr>
        <w:t> | </w:t>
      </w:r>
      <w:hyperlink r:id="rId64" w:history="1">
        <w:r w:rsidR="00CC496A" w:rsidRPr="00CC496A">
          <w:rPr>
            <w:rFonts w:ascii="Verdana" w:eastAsia="Times New Roman" w:hAnsi="Verdana" w:cs="Times New Roman"/>
            <w:color w:val="337AB7"/>
            <w:sz w:val="24"/>
            <w:szCs w:val="24"/>
            <w:u w:val="single"/>
          </w:rPr>
          <w:t>next</w:t>
        </w:r>
      </w:hyperlink>
    </w:p>
    <w:p w14:paraId="47842644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7158A0CF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4D462C58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1E60B553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79F37B8D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4F6C2B72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34C3B246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20AED8AE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212CCE6E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1E0C134F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46071C81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5963DA4A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0F59D34B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4DF60CCA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323F818D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15C5BADE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28AF6212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47EDBC0D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629E253A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6F00AB0E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66C1CFA1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2D43376B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6C7FEFBB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p w14:paraId="04A906B4" w14:textId="77777777" w:rsidR="00CC496A" w:rsidRDefault="00CC496A" w:rsidP="00CC496A">
      <w:pPr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</w:p>
    <w:sectPr w:rsidR="00CC496A">
      <w:headerReference w:type="defaul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8A62D" w14:textId="77777777" w:rsidR="00F503F8" w:rsidRDefault="00F503F8" w:rsidP="00391964">
      <w:pPr>
        <w:spacing w:after="0" w:line="240" w:lineRule="auto"/>
      </w:pPr>
      <w:r>
        <w:separator/>
      </w:r>
    </w:p>
  </w:endnote>
  <w:endnote w:type="continuationSeparator" w:id="0">
    <w:p w14:paraId="0A19FDA8" w14:textId="77777777" w:rsidR="00F503F8" w:rsidRDefault="00F503F8" w:rsidP="0039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63800" w14:textId="77777777" w:rsidR="00F503F8" w:rsidRDefault="00F503F8" w:rsidP="00391964">
      <w:pPr>
        <w:spacing w:after="0" w:line="240" w:lineRule="auto"/>
      </w:pPr>
      <w:r>
        <w:separator/>
      </w:r>
    </w:p>
  </w:footnote>
  <w:footnote w:type="continuationSeparator" w:id="0">
    <w:p w14:paraId="3A61CEC3" w14:textId="77777777" w:rsidR="00F503F8" w:rsidRDefault="00F503F8" w:rsidP="0039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449A" w14:textId="5874918A" w:rsidR="00F503F8" w:rsidRPr="00B0555E" w:rsidRDefault="00F503F8" w:rsidP="00391964">
    <w:pPr>
      <w:shd w:val="clear" w:color="auto" w:fill="FFFFFF"/>
      <w:spacing w:before="300" w:after="150" w:line="240" w:lineRule="auto"/>
      <w:outlineLvl w:val="0"/>
      <w:rPr>
        <w:rFonts w:ascii="Verdana" w:eastAsia="Times New Roman" w:hAnsi="Verdana" w:cs="Times New Roman"/>
        <w:color w:val="333333"/>
        <w:kern w:val="36"/>
        <w:sz w:val="16"/>
        <w:szCs w:val="16"/>
      </w:rPr>
    </w:pPr>
    <w:r w:rsidRPr="00391964">
      <w:rPr>
        <w:rFonts w:ascii="Verdana" w:eastAsia="Times New Roman" w:hAnsi="Verdana" w:cs="Times New Roman"/>
        <w:color w:val="333333"/>
        <w:kern w:val="36"/>
        <w:sz w:val="32"/>
        <w:szCs w:val="32"/>
      </w:rPr>
      <w:t>33 CFR Part 105</w:t>
    </w:r>
    <w:r w:rsidR="00A5091F">
      <w:rPr>
        <w:rFonts w:ascii="Verdana" w:eastAsia="Times New Roman" w:hAnsi="Verdana" w:cs="Times New Roman"/>
        <w:color w:val="333333"/>
        <w:kern w:val="36"/>
        <w:sz w:val="32"/>
        <w:szCs w:val="32"/>
      </w:rPr>
      <w:t>.237</w:t>
    </w:r>
    <w:r w:rsidRPr="00391964">
      <w:rPr>
        <w:rFonts w:ascii="Verdana" w:eastAsia="Times New Roman" w:hAnsi="Verdana" w:cs="Times New Roman"/>
        <w:color w:val="333333"/>
        <w:kern w:val="36"/>
        <w:sz w:val="32"/>
        <w:szCs w:val="32"/>
      </w:rPr>
      <w:t xml:space="preserve"> </w:t>
    </w:r>
    <w:r w:rsidR="00A5091F">
      <w:rPr>
        <w:rFonts w:ascii="Verdana" w:eastAsia="Times New Roman" w:hAnsi="Verdana" w:cs="Times New Roman"/>
        <w:color w:val="333333"/>
        <w:kern w:val="36"/>
        <w:sz w:val="32"/>
        <w:szCs w:val="32"/>
      </w:rPr>
      <w:t>–</w:t>
    </w:r>
    <w:r w:rsidRPr="00391964">
      <w:rPr>
        <w:rFonts w:ascii="Verdana" w:eastAsia="Times New Roman" w:hAnsi="Verdana" w:cs="Times New Roman"/>
        <w:color w:val="333333"/>
        <w:kern w:val="36"/>
        <w:sz w:val="32"/>
        <w:szCs w:val="32"/>
      </w:rPr>
      <w:t xml:space="preserve"> </w:t>
    </w:r>
    <w:r w:rsidR="00A5091F">
      <w:rPr>
        <w:rFonts w:ascii="Verdana" w:eastAsia="Times New Roman" w:hAnsi="Verdana" w:cs="Times New Roman"/>
        <w:color w:val="333333"/>
        <w:kern w:val="36"/>
        <w:sz w:val="32"/>
        <w:szCs w:val="32"/>
      </w:rPr>
      <w:t>System for Seafarer’s Access</w:t>
    </w:r>
    <w:r w:rsidR="00B0555E">
      <w:rPr>
        <w:rFonts w:ascii="Verdana" w:eastAsia="Times New Roman" w:hAnsi="Verdana" w:cs="Times New Roman"/>
        <w:color w:val="333333"/>
        <w:kern w:val="36"/>
        <w:sz w:val="32"/>
        <w:szCs w:val="32"/>
      </w:rPr>
      <w:t xml:space="preserve"> </w:t>
    </w:r>
    <w:r w:rsidR="00B0555E" w:rsidRPr="00B0555E">
      <w:rPr>
        <w:rFonts w:ascii="Verdana" w:eastAsia="Times New Roman" w:hAnsi="Verdana" w:cs="Times New Roman"/>
        <w:color w:val="333333"/>
        <w:kern w:val="36"/>
        <w:sz w:val="16"/>
        <w:szCs w:val="16"/>
      </w:rPr>
      <w:t>9-</w:t>
    </w:r>
    <w:r w:rsidR="00B0555E">
      <w:rPr>
        <w:rFonts w:ascii="Verdana" w:eastAsia="Times New Roman" w:hAnsi="Verdana" w:cs="Times New Roman"/>
        <w:color w:val="333333"/>
        <w:kern w:val="36"/>
        <w:sz w:val="16"/>
        <w:szCs w:val="16"/>
      </w:rPr>
      <w:t>01</w:t>
    </w:r>
    <w:r w:rsidR="00B0555E" w:rsidRPr="00B0555E">
      <w:rPr>
        <w:rFonts w:ascii="Verdana" w:eastAsia="Times New Roman" w:hAnsi="Verdana" w:cs="Times New Roman"/>
        <w:color w:val="333333"/>
        <w:kern w:val="36"/>
        <w:sz w:val="16"/>
        <w:szCs w:val="16"/>
      </w:rPr>
      <w:t>-19</w:t>
    </w:r>
  </w:p>
  <w:p w14:paraId="75BD73E9" w14:textId="77777777" w:rsidR="00F503F8" w:rsidRDefault="00F50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861"/>
    <w:multiLevelType w:val="multilevel"/>
    <w:tmpl w:val="A7B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319AC"/>
    <w:multiLevelType w:val="multilevel"/>
    <w:tmpl w:val="019C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93AC9"/>
    <w:multiLevelType w:val="multilevel"/>
    <w:tmpl w:val="D25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76728"/>
    <w:multiLevelType w:val="multilevel"/>
    <w:tmpl w:val="7A00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86AC9"/>
    <w:multiLevelType w:val="multilevel"/>
    <w:tmpl w:val="C17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17D9F"/>
    <w:multiLevelType w:val="multilevel"/>
    <w:tmpl w:val="4428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57CDC"/>
    <w:multiLevelType w:val="multilevel"/>
    <w:tmpl w:val="CACC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E2C8A"/>
    <w:multiLevelType w:val="multilevel"/>
    <w:tmpl w:val="C24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97E67"/>
    <w:multiLevelType w:val="multilevel"/>
    <w:tmpl w:val="36EE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44845"/>
    <w:multiLevelType w:val="multilevel"/>
    <w:tmpl w:val="63DA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487614"/>
    <w:multiLevelType w:val="multilevel"/>
    <w:tmpl w:val="40C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363A6"/>
    <w:multiLevelType w:val="multilevel"/>
    <w:tmpl w:val="6286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64"/>
    <w:rsid w:val="001C6D6D"/>
    <w:rsid w:val="00354E3F"/>
    <w:rsid w:val="00391964"/>
    <w:rsid w:val="00446ED7"/>
    <w:rsid w:val="00841933"/>
    <w:rsid w:val="008D52F9"/>
    <w:rsid w:val="00986A8A"/>
    <w:rsid w:val="00A5091F"/>
    <w:rsid w:val="00AD4CF4"/>
    <w:rsid w:val="00B0555E"/>
    <w:rsid w:val="00CC496A"/>
    <w:rsid w:val="00F503F8"/>
    <w:rsid w:val="00F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2986"/>
  <w15:chartTrackingRefBased/>
  <w15:docId w15:val="{075884FD-87AB-458F-8DFE-991EFFC6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1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64"/>
  </w:style>
  <w:style w:type="paragraph" w:styleId="Footer">
    <w:name w:val="footer"/>
    <w:basedOn w:val="Normal"/>
    <w:link w:val="FooterChar"/>
    <w:uiPriority w:val="99"/>
    <w:unhideWhenUsed/>
    <w:rsid w:val="0039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64"/>
  </w:style>
  <w:style w:type="paragraph" w:customStyle="1" w:styleId="tocitem">
    <w:name w:val="tocitem"/>
    <w:basedOn w:val="Normal"/>
    <w:rsid w:val="003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9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1">
    <w:name w:val="psection-1"/>
    <w:basedOn w:val="Normal"/>
    <w:rsid w:val="003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391964"/>
  </w:style>
  <w:style w:type="paragraph" w:customStyle="1" w:styleId="psection-2">
    <w:name w:val="psection-2"/>
    <w:basedOn w:val="Normal"/>
    <w:rsid w:val="003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3">
    <w:name w:val="psection-3"/>
    <w:basedOn w:val="Normal"/>
    <w:rsid w:val="003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03">
    <w:name w:val="et03"/>
    <w:basedOn w:val="DefaultParagraphFont"/>
    <w:rsid w:val="00391964"/>
  </w:style>
  <w:style w:type="character" w:customStyle="1" w:styleId="Heading1Char">
    <w:name w:val="Heading 1 Char"/>
    <w:basedOn w:val="DefaultParagraphFont"/>
    <w:link w:val="Heading1"/>
    <w:uiPriority w:val="9"/>
    <w:rsid w:val="003919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ctive">
    <w:name w:val="active"/>
    <w:basedOn w:val="Normal"/>
    <w:rsid w:val="003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1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  <w:divsChild>
                        <w:div w:id="17124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EEEEE"/>
                                <w:left w:val="none" w:sz="0" w:space="0" w:color="auto"/>
                                <w:bottom w:val="none" w:sz="0" w:space="11" w:color="auto"/>
                                <w:right w:val="none" w:sz="0" w:space="0" w:color="auto"/>
                              </w:divBdr>
                              <w:divsChild>
                                <w:div w:id="92183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0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1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  <w:divsChild>
                        <w:div w:id="7232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EEEEE"/>
                                <w:left w:val="none" w:sz="0" w:space="0" w:color="auto"/>
                                <w:bottom w:val="none" w:sz="0" w:space="11" w:color="auto"/>
                                <w:right w:val="none" w:sz="0" w:space="0" w:color="auto"/>
                              </w:divBdr>
                              <w:divsChild>
                                <w:div w:id="136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7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7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53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5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6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  <w:divsChild>
                        <w:div w:id="21199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EEEEE"/>
                                <w:left w:val="none" w:sz="0" w:space="0" w:color="auto"/>
                                <w:bottom w:val="none" w:sz="0" w:space="11" w:color="auto"/>
                                <w:right w:val="none" w:sz="0" w:space="0" w:color="auto"/>
                              </w:divBdr>
                              <w:divsChild>
                                <w:div w:id="11573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4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1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91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513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4566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4747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6215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778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834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335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33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272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11402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2471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7015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8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5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  <w:divsChild>
                        <w:div w:id="19290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EEEEE"/>
                                <w:left w:val="none" w:sz="0" w:space="0" w:color="auto"/>
                                <w:bottom w:val="none" w:sz="0" w:space="11" w:color="auto"/>
                                <w:right w:val="none" w:sz="0" w:space="0" w:color="auto"/>
                              </w:divBdr>
                              <w:divsChild>
                                <w:div w:id="72622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6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8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2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5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EEEEE"/>
                        <w:left w:val="single" w:sz="6" w:space="8" w:color="EEEEEE"/>
                        <w:bottom w:val="single" w:sz="6" w:space="8" w:color="EEEEEE"/>
                        <w:right w:val="single" w:sz="6" w:space="8" w:color="EEEEEE"/>
                      </w:divBdr>
                      <w:divsChild>
                        <w:div w:id="12123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EEEEE"/>
                                <w:left w:val="none" w:sz="0" w:space="0" w:color="auto"/>
                                <w:bottom w:val="none" w:sz="0" w:space="11" w:color="auto"/>
                                <w:right w:val="none" w:sz="0" w:space="0" w:color="auto"/>
                              </w:divBdr>
                              <w:divsChild>
                                <w:div w:id="183109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5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414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2045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969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216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766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8" w:color="EEEEEE"/>
            <w:bottom w:val="single" w:sz="6" w:space="8" w:color="EEEEEE"/>
            <w:right w:val="single" w:sz="6" w:space="8" w:color="EEEEEE"/>
          </w:divBdr>
          <w:divsChild>
            <w:div w:id="859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91">
                  <w:marLeft w:val="0"/>
                  <w:marRight w:val="0"/>
                  <w:marTop w:val="0"/>
                  <w:marBottom w:val="0"/>
                  <w:divBdr>
                    <w:top w:val="single" w:sz="6" w:space="11" w:color="EEEEEE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7655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200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w.cornell.edu/cfr/text/33/105.237" TargetMode="External"/><Relationship Id="rId18" Type="http://schemas.openxmlformats.org/officeDocument/2006/relationships/hyperlink" Target="https://www.law.cornell.edu/cfr/text/33/105.237" TargetMode="External"/><Relationship Id="rId26" Type="http://schemas.openxmlformats.org/officeDocument/2006/relationships/hyperlink" Target="https://www.law.cornell.edu/cfr/text/33/105.237" TargetMode="External"/><Relationship Id="rId39" Type="http://schemas.openxmlformats.org/officeDocument/2006/relationships/hyperlink" Target="https://www.law.cornell.edu/cfr/text/33/105.237" TargetMode="External"/><Relationship Id="rId21" Type="http://schemas.openxmlformats.org/officeDocument/2006/relationships/hyperlink" Target="https://www.law.cornell.edu/cfr/text/33/105.237" TargetMode="External"/><Relationship Id="rId34" Type="http://schemas.openxmlformats.org/officeDocument/2006/relationships/hyperlink" Target="https://www.law.cornell.edu/cfr/text/33/105.237" TargetMode="External"/><Relationship Id="rId42" Type="http://schemas.openxmlformats.org/officeDocument/2006/relationships/hyperlink" Target="https://www.law.cornell.edu/cfr/text/33/105.237" TargetMode="External"/><Relationship Id="rId47" Type="http://schemas.openxmlformats.org/officeDocument/2006/relationships/hyperlink" Target="https://www.law.cornell.edu/cfr/text/33/105.237" TargetMode="External"/><Relationship Id="rId50" Type="http://schemas.openxmlformats.org/officeDocument/2006/relationships/hyperlink" Target="https://www.law.cornell.edu/cfr/text/33/105.237" TargetMode="External"/><Relationship Id="rId55" Type="http://schemas.openxmlformats.org/officeDocument/2006/relationships/hyperlink" Target="https://www.law.cornell.edu/cfr/text/33/105.410" TargetMode="External"/><Relationship Id="rId63" Type="http://schemas.openxmlformats.org/officeDocument/2006/relationships/hyperlink" Target="https://www.law.cornell.edu/cfr/text/33/105.240" TargetMode="External"/><Relationship Id="rId7" Type="http://schemas.openxmlformats.org/officeDocument/2006/relationships/hyperlink" Target="https://www.law.cornell.edu/cfr/text/33/105.2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w.cornell.edu/cfr/text/33/105.237" TargetMode="External"/><Relationship Id="rId29" Type="http://schemas.openxmlformats.org/officeDocument/2006/relationships/hyperlink" Target="https://www.law.cornell.edu/cfr/text/33/105.2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w.cornell.edu/cfr/text/33/105.237" TargetMode="External"/><Relationship Id="rId24" Type="http://schemas.openxmlformats.org/officeDocument/2006/relationships/hyperlink" Target="https://www.law.cornell.edu/cfr/text/33/105.237" TargetMode="External"/><Relationship Id="rId32" Type="http://schemas.openxmlformats.org/officeDocument/2006/relationships/hyperlink" Target="https://www.law.cornell.edu/cfr/text/33/105.237" TargetMode="External"/><Relationship Id="rId37" Type="http://schemas.openxmlformats.org/officeDocument/2006/relationships/hyperlink" Target="https://www.law.cornell.edu/cfr/text/33/105.237" TargetMode="External"/><Relationship Id="rId40" Type="http://schemas.openxmlformats.org/officeDocument/2006/relationships/hyperlink" Target="https://www.law.cornell.edu/cfr/text/33/105.237" TargetMode="External"/><Relationship Id="rId45" Type="http://schemas.openxmlformats.org/officeDocument/2006/relationships/hyperlink" Target="https://www.law.cornell.edu/cfr/text/33/105.237" TargetMode="External"/><Relationship Id="rId53" Type="http://schemas.openxmlformats.org/officeDocument/2006/relationships/hyperlink" Target="https://www.law.cornell.edu/cfr/text/33/105.237" TargetMode="External"/><Relationship Id="rId58" Type="http://schemas.openxmlformats.org/officeDocument/2006/relationships/hyperlink" Target="https://www.law.cornell.edu/cfr/text/33/105.237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aw.cornell.edu/cfr/text/33/105.237" TargetMode="External"/><Relationship Id="rId23" Type="http://schemas.openxmlformats.org/officeDocument/2006/relationships/hyperlink" Target="https://www.law.cornell.edu/cfr/text/33/105.237" TargetMode="External"/><Relationship Id="rId28" Type="http://schemas.openxmlformats.org/officeDocument/2006/relationships/hyperlink" Target="https://www.law.cornell.edu/cfr/text/33/105.237" TargetMode="External"/><Relationship Id="rId36" Type="http://schemas.openxmlformats.org/officeDocument/2006/relationships/hyperlink" Target="https://www.law.cornell.edu/cfr/text/33/105.237" TargetMode="External"/><Relationship Id="rId49" Type="http://schemas.openxmlformats.org/officeDocument/2006/relationships/hyperlink" Target="https://www.law.cornell.edu/cfr/text/33/105.237" TargetMode="External"/><Relationship Id="rId57" Type="http://schemas.openxmlformats.org/officeDocument/2006/relationships/hyperlink" Target="https://www.law.cornell.edu/cfr/text/33/105.237" TargetMode="External"/><Relationship Id="rId61" Type="http://schemas.openxmlformats.org/officeDocument/2006/relationships/hyperlink" Target="https://www.law.cornell.edu/cfr/text/33/105.237" TargetMode="External"/><Relationship Id="rId10" Type="http://schemas.openxmlformats.org/officeDocument/2006/relationships/hyperlink" Target="https://www.law.cornell.edu/cfr/text/33/105.237" TargetMode="External"/><Relationship Id="rId19" Type="http://schemas.openxmlformats.org/officeDocument/2006/relationships/hyperlink" Target="https://www.law.cornell.edu/cfr/text/33/105.237" TargetMode="External"/><Relationship Id="rId31" Type="http://schemas.openxmlformats.org/officeDocument/2006/relationships/hyperlink" Target="https://www.law.cornell.edu/cfr/text/33/105.237" TargetMode="External"/><Relationship Id="rId44" Type="http://schemas.openxmlformats.org/officeDocument/2006/relationships/hyperlink" Target="https://www.law.cornell.edu/cfr/text/33/105.237" TargetMode="External"/><Relationship Id="rId52" Type="http://schemas.openxmlformats.org/officeDocument/2006/relationships/hyperlink" Target="https://www.law.cornell.edu/cfr/text/33/105.237" TargetMode="External"/><Relationship Id="rId60" Type="http://schemas.openxmlformats.org/officeDocument/2006/relationships/hyperlink" Target="https://www.law.cornell.edu/cfr/text/33/105.237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cfr/text/33/105.237" TargetMode="External"/><Relationship Id="rId14" Type="http://schemas.openxmlformats.org/officeDocument/2006/relationships/hyperlink" Target="https://www.law.cornell.edu/cfr/text/33/105.237" TargetMode="External"/><Relationship Id="rId22" Type="http://schemas.openxmlformats.org/officeDocument/2006/relationships/hyperlink" Target="https://www.law.cornell.edu/cfr/text/33/105.237" TargetMode="External"/><Relationship Id="rId27" Type="http://schemas.openxmlformats.org/officeDocument/2006/relationships/hyperlink" Target="https://www.law.cornell.edu/cfr/text/33/105.237" TargetMode="External"/><Relationship Id="rId30" Type="http://schemas.openxmlformats.org/officeDocument/2006/relationships/hyperlink" Target="https://www.law.cornell.edu/cfr/text/33/105.237" TargetMode="External"/><Relationship Id="rId35" Type="http://schemas.openxmlformats.org/officeDocument/2006/relationships/hyperlink" Target="https://www.law.cornell.edu/cfr/text/33/105.237" TargetMode="External"/><Relationship Id="rId43" Type="http://schemas.openxmlformats.org/officeDocument/2006/relationships/hyperlink" Target="https://www.law.cornell.edu/cfr/text/33/105.237" TargetMode="External"/><Relationship Id="rId48" Type="http://schemas.openxmlformats.org/officeDocument/2006/relationships/hyperlink" Target="https://www.law.cornell.edu/cfr/text/33/105.237" TargetMode="External"/><Relationship Id="rId56" Type="http://schemas.openxmlformats.org/officeDocument/2006/relationships/hyperlink" Target="https://www.law.cornell.edu/cfr/text/33/105.415" TargetMode="External"/><Relationship Id="rId64" Type="http://schemas.openxmlformats.org/officeDocument/2006/relationships/hyperlink" Target="https://www.law.cornell.edu/cfr/text/33/105.250" TargetMode="External"/><Relationship Id="rId8" Type="http://schemas.openxmlformats.org/officeDocument/2006/relationships/hyperlink" Target="https://www.law.cornell.edu/cfr/text/33/105.237" TargetMode="External"/><Relationship Id="rId51" Type="http://schemas.openxmlformats.org/officeDocument/2006/relationships/hyperlink" Target="https://www.law.cornell.edu/cfr/text/33/105.23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aw.cornell.edu/cfr/text/33/105.237" TargetMode="External"/><Relationship Id="rId17" Type="http://schemas.openxmlformats.org/officeDocument/2006/relationships/hyperlink" Target="https://www.law.cornell.edu/cfr/text/33/105.237" TargetMode="External"/><Relationship Id="rId25" Type="http://schemas.openxmlformats.org/officeDocument/2006/relationships/hyperlink" Target="https://www.law.cornell.edu/cfr/text/33/105.237" TargetMode="External"/><Relationship Id="rId33" Type="http://schemas.openxmlformats.org/officeDocument/2006/relationships/hyperlink" Target="https://www.law.cornell.edu/cfr/text/33/105.237" TargetMode="External"/><Relationship Id="rId38" Type="http://schemas.openxmlformats.org/officeDocument/2006/relationships/hyperlink" Target="https://www.law.cornell.edu/cfr/text/33/105.237" TargetMode="External"/><Relationship Id="rId46" Type="http://schemas.openxmlformats.org/officeDocument/2006/relationships/hyperlink" Target="https://www.law.cornell.edu/cfr/text/33/105.237" TargetMode="External"/><Relationship Id="rId59" Type="http://schemas.openxmlformats.org/officeDocument/2006/relationships/hyperlink" Target="https://www.law.cornell.edu/cfr/text/33/105.23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law.cornell.edu/cfr/text/33/105.237" TargetMode="External"/><Relationship Id="rId41" Type="http://schemas.openxmlformats.org/officeDocument/2006/relationships/hyperlink" Target="https://www.law.cornell.edu/cfr/text/33/105.237" TargetMode="External"/><Relationship Id="rId54" Type="http://schemas.openxmlformats.org/officeDocument/2006/relationships/hyperlink" Target="https://www.law.cornell.edu/cfr/text/33/105.237" TargetMode="External"/><Relationship Id="rId62" Type="http://schemas.openxmlformats.org/officeDocument/2006/relationships/hyperlink" Target="https://www.law.cornell.edu/rio/citation/84_FR_12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Acosta</dc:creator>
  <cp:keywords/>
  <dc:description/>
  <cp:lastModifiedBy>Lester Millet III</cp:lastModifiedBy>
  <cp:revision>2</cp:revision>
  <cp:lastPrinted>2019-09-11T14:49:00Z</cp:lastPrinted>
  <dcterms:created xsi:type="dcterms:W3CDTF">2019-09-16T14:00:00Z</dcterms:created>
  <dcterms:modified xsi:type="dcterms:W3CDTF">2019-09-16T14:00:00Z</dcterms:modified>
</cp:coreProperties>
</file>