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ACF72" w14:textId="6F0509E7" w:rsidR="00391964" w:rsidRDefault="00391964" w:rsidP="00841933">
      <w:pPr>
        <w:pStyle w:val="NoSpacing"/>
      </w:pPr>
      <w:bookmarkStart w:id="0" w:name="_GoBack"/>
    </w:p>
    <w:bookmarkEnd w:id="0"/>
    <w:p w14:paraId="4AD730E2" w14:textId="77777777" w:rsidR="00CC496A" w:rsidRPr="00CC496A" w:rsidRDefault="00CC496A" w:rsidP="00CC49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9"/>
          <w:szCs w:val="29"/>
        </w:rPr>
      </w:pPr>
      <w:r w:rsidRPr="00CC496A">
        <w:rPr>
          <w:rFonts w:ascii="Verdana" w:eastAsia="Times New Roman" w:hAnsi="Verdana" w:cs="Times New Roman"/>
          <w:b/>
          <w:bCs/>
          <w:color w:val="333333"/>
          <w:sz w:val="29"/>
          <w:szCs w:val="29"/>
        </w:rPr>
        <w:t>§ 105.237 System for seafarers' access.</w:t>
      </w:r>
    </w:p>
    <w:p w14:paraId="3C7B21CC" w14:textId="1F9E8A98" w:rsidR="00CC496A" w:rsidRPr="00CC496A" w:rsidRDefault="00CC496A" w:rsidP="00CC496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CC496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(a)</w:t>
      </w:r>
      <w:r w:rsidRPr="00CC496A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</w:rPr>
        <w:t>Access required.</w:t>
      </w:r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Each </w:t>
      </w:r>
      <w:hyperlink r:id="rId7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facility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</w:t>
      </w:r>
      <w:hyperlink r:id="rId8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owner or operator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must implement a system by June 1, 2020 for providing access through the </w:t>
      </w:r>
      <w:hyperlink r:id="rId9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facility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that enables individuals to transit to and from a </w:t>
      </w:r>
      <w:hyperlink r:id="rId10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vessel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moored at the </w:t>
      </w:r>
      <w:hyperlink r:id="rId11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facility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and the </w:t>
      </w:r>
      <w:hyperlink r:id="rId12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facility</w:t>
        </w:r>
      </w:hyperlink>
      <w:r w:rsidR="001C6D6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gate in accordance with the requirements in this section. The system must provide timely access as described in </w:t>
      </w:r>
      <w:hyperlink r:id="rId13" w:anchor="c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paragraph (c)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of this section and incorporate the access methods described in </w:t>
      </w:r>
      <w:hyperlink r:id="rId14" w:anchor="d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paragraph (d)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of this section at no cost to the individuals covered. The system must comply with the Transportation Worker Identification Credential (TWIC) provisions in this part.</w:t>
      </w:r>
    </w:p>
    <w:p w14:paraId="5ACC64D3" w14:textId="77777777" w:rsidR="00CC496A" w:rsidRPr="00CC496A" w:rsidRDefault="00CC496A" w:rsidP="00CC496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CC496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(b)</w:t>
      </w:r>
      <w:r w:rsidRPr="00CC496A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</w:rPr>
        <w:t>Individuals covered.</w:t>
      </w:r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The individuals to whom the </w:t>
      </w:r>
      <w:hyperlink r:id="rId15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facility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</w:t>
      </w:r>
      <w:hyperlink r:id="rId16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owner or operator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must provide the access described in this section include -</w:t>
      </w:r>
    </w:p>
    <w:p w14:paraId="6E44EB0F" w14:textId="77777777" w:rsidR="00CC496A" w:rsidRPr="00CC496A" w:rsidRDefault="00CC496A" w:rsidP="00CC496A">
      <w:pPr>
        <w:shd w:val="clear" w:color="auto" w:fill="FFFFFF"/>
        <w:spacing w:after="150" w:line="240" w:lineRule="auto"/>
        <w:ind w:left="24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CC496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(1)</w:t>
      </w:r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Seafarers assigned to a </w:t>
      </w:r>
      <w:hyperlink r:id="rId17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vessel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at that </w:t>
      </w:r>
      <w:hyperlink r:id="rId18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facility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;</w:t>
      </w:r>
    </w:p>
    <w:p w14:paraId="64FA9AAE" w14:textId="77777777" w:rsidR="00CC496A" w:rsidRPr="00CC496A" w:rsidRDefault="00CC496A" w:rsidP="00CC496A">
      <w:pPr>
        <w:shd w:val="clear" w:color="auto" w:fill="FFFFFF"/>
        <w:spacing w:after="150" w:line="240" w:lineRule="auto"/>
        <w:ind w:left="24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CC496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(2)</w:t>
      </w:r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Pilots; and</w:t>
      </w:r>
    </w:p>
    <w:p w14:paraId="7D0CE557" w14:textId="77777777" w:rsidR="00CC496A" w:rsidRPr="00CC496A" w:rsidRDefault="00CC496A" w:rsidP="00CC496A">
      <w:pPr>
        <w:shd w:val="clear" w:color="auto" w:fill="FFFFFF"/>
        <w:spacing w:after="150" w:line="240" w:lineRule="auto"/>
        <w:ind w:left="24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CC496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(3)</w:t>
      </w:r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Representatives of seafarers' welfare and labor organizations.</w:t>
      </w:r>
    </w:p>
    <w:p w14:paraId="72C73C87" w14:textId="77777777" w:rsidR="00CC496A" w:rsidRPr="00CC496A" w:rsidRDefault="00CC496A" w:rsidP="00CC496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CC496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(c)</w:t>
      </w:r>
      <w:r w:rsidRPr="00CC496A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</w:rPr>
        <w:t>Timely access.</w:t>
      </w:r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The </w:t>
      </w:r>
      <w:hyperlink r:id="rId19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facility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</w:t>
      </w:r>
      <w:hyperlink r:id="rId20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owner or operator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must provide the access described in this section without unreasonable delay, subject to review by the </w:t>
      </w:r>
      <w:hyperlink r:id="rId21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Captain of the Port (COTP)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. The </w:t>
      </w:r>
      <w:hyperlink r:id="rId22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facility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</w:t>
      </w:r>
      <w:hyperlink r:id="rId23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owner or operator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must consider the following when establishing timely access without unreasonable delay:</w:t>
      </w:r>
    </w:p>
    <w:p w14:paraId="606A060B" w14:textId="77777777" w:rsidR="00CC496A" w:rsidRPr="00CC496A" w:rsidRDefault="00CC496A" w:rsidP="00CC496A">
      <w:pPr>
        <w:shd w:val="clear" w:color="auto" w:fill="FFFFFF"/>
        <w:spacing w:after="150" w:line="240" w:lineRule="auto"/>
        <w:ind w:left="24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CC496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(1)</w:t>
      </w:r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Length of time the </w:t>
      </w:r>
      <w:hyperlink r:id="rId24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vessel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is in port.</w:t>
      </w:r>
    </w:p>
    <w:p w14:paraId="5E76CFB3" w14:textId="77777777" w:rsidR="00CC496A" w:rsidRPr="00CC496A" w:rsidRDefault="00CC496A" w:rsidP="00CC496A">
      <w:pPr>
        <w:shd w:val="clear" w:color="auto" w:fill="FFFFFF"/>
        <w:spacing w:after="150" w:line="240" w:lineRule="auto"/>
        <w:ind w:left="24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CC496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(2)</w:t>
      </w:r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Distance of egress/ingress between the </w:t>
      </w:r>
      <w:hyperlink r:id="rId25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vessel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and </w:t>
      </w:r>
      <w:hyperlink r:id="rId26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facility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gate.</w:t>
      </w:r>
    </w:p>
    <w:p w14:paraId="0F0B01F6" w14:textId="77777777" w:rsidR="00CC496A" w:rsidRPr="00CC496A" w:rsidRDefault="00CC496A" w:rsidP="00CC496A">
      <w:pPr>
        <w:shd w:val="clear" w:color="auto" w:fill="FFFFFF"/>
        <w:spacing w:after="150" w:line="240" w:lineRule="auto"/>
        <w:ind w:left="24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CC496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(3)</w:t>
      </w:r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The </w:t>
      </w:r>
      <w:hyperlink r:id="rId27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vessel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watch schedules.</w:t>
      </w:r>
    </w:p>
    <w:p w14:paraId="3456FE7A" w14:textId="77777777" w:rsidR="00CC496A" w:rsidRPr="00CC496A" w:rsidRDefault="00CC496A" w:rsidP="00CC496A">
      <w:pPr>
        <w:shd w:val="clear" w:color="auto" w:fill="FFFFFF"/>
        <w:spacing w:after="150" w:line="240" w:lineRule="auto"/>
        <w:ind w:left="24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CC496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(4)</w:t>
      </w:r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The </w:t>
      </w:r>
      <w:hyperlink r:id="rId28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facility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's safety and security procedures as required by law.</w:t>
      </w:r>
    </w:p>
    <w:p w14:paraId="086D6C6F" w14:textId="77777777" w:rsidR="00CC496A" w:rsidRPr="00CC496A" w:rsidRDefault="00CC496A" w:rsidP="00CC496A">
      <w:pPr>
        <w:shd w:val="clear" w:color="auto" w:fill="FFFFFF"/>
        <w:spacing w:after="150" w:line="240" w:lineRule="auto"/>
        <w:ind w:left="24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CC496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(5)</w:t>
      </w:r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Any other factors specific to the </w:t>
      </w:r>
      <w:hyperlink r:id="rId29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vessel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or </w:t>
      </w:r>
      <w:hyperlink r:id="rId30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facility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that could affect access to and from the </w:t>
      </w:r>
      <w:hyperlink r:id="rId31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vessel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.</w:t>
      </w:r>
    </w:p>
    <w:p w14:paraId="68E59731" w14:textId="77777777" w:rsidR="00CC496A" w:rsidRPr="00CC496A" w:rsidRDefault="00CC496A" w:rsidP="00CC496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CC496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(d)</w:t>
      </w:r>
      <w:r w:rsidRPr="00CC496A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</w:rPr>
        <w:t>Access methods.</w:t>
      </w:r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The </w:t>
      </w:r>
      <w:hyperlink r:id="rId32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facility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</w:t>
      </w:r>
      <w:hyperlink r:id="rId33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owner or operator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must ensure that the access described in this section is provided through one or more of the following methods:</w:t>
      </w:r>
    </w:p>
    <w:p w14:paraId="4AE62DD5" w14:textId="77777777" w:rsidR="00CC496A" w:rsidRPr="00CC496A" w:rsidRDefault="00CC496A" w:rsidP="00CC496A">
      <w:pPr>
        <w:shd w:val="clear" w:color="auto" w:fill="FFFFFF"/>
        <w:spacing w:after="150" w:line="240" w:lineRule="auto"/>
        <w:ind w:left="24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CC496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(1)</w:t>
      </w:r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Regularly scheduled escort between the </w:t>
      </w:r>
      <w:hyperlink r:id="rId34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vessel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and the </w:t>
      </w:r>
      <w:hyperlink r:id="rId35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facility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gate that conforms to the </w:t>
      </w:r>
      <w:hyperlink r:id="rId36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vessel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's watch schedule as agreed upon between the </w:t>
      </w:r>
      <w:hyperlink r:id="rId37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vessel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and </w:t>
      </w:r>
      <w:hyperlink r:id="rId38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facility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.</w:t>
      </w:r>
    </w:p>
    <w:p w14:paraId="7B7927F5" w14:textId="77777777" w:rsidR="00CC496A" w:rsidRPr="00CC496A" w:rsidRDefault="00CC496A" w:rsidP="00CC496A">
      <w:pPr>
        <w:shd w:val="clear" w:color="auto" w:fill="FFFFFF"/>
        <w:spacing w:after="150" w:line="240" w:lineRule="auto"/>
        <w:ind w:left="24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CC496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(2)</w:t>
      </w:r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An on-call escort between the </w:t>
      </w:r>
      <w:hyperlink r:id="rId39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vessel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and the </w:t>
      </w:r>
      <w:hyperlink r:id="rId40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facility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gate.</w:t>
      </w:r>
    </w:p>
    <w:p w14:paraId="71FECB33" w14:textId="77777777" w:rsidR="00CC496A" w:rsidRPr="00CC496A" w:rsidRDefault="00CC496A" w:rsidP="00CC496A">
      <w:pPr>
        <w:shd w:val="clear" w:color="auto" w:fill="FFFFFF"/>
        <w:spacing w:after="150" w:line="240" w:lineRule="auto"/>
        <w:ind w:left="24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CC496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(3)</w:t>
      </w:r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 xml:space="preserve"> Arrangements with taxi services or other transportation services, ensuring that any costs for providing the access described in this section, </w:t>
      </w:r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lastRenderedPageBreak/>
        <w:t>above the service's standard fees charged to any customer, are not charged to the individual to whom such access is provided. If a </w:t>
      </w:r>
      <w:hyperlink r:id="rId41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facility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provides arrangements with taxi services or other transportation services as the only method for providing the access described in this section, the </w:t>
      </w:r>
      <w:hyperlink r:id="rId42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facility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is responsible to pay any fees for transit within the </w:t>
      </w:r>
      <w:hyperlink r:id="rId43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facility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.</w:t>
      </w:r>
    </w:p>
    <w:p w14:paraId="56C664A1" w14:textId="77777777" w:rsidR="00CC496A" w:rsidRPr="00CC496A" w:rsidRDefault="00CC496A" w:rsidP="00CC496A">
      <w:pPr>
        <w:shd w:val="clear" w:color="auto" w:fill="FFFFFF"/>
        <w:spacing w:after="150" w:line="240" w:lineRule="auto"/>
        <w:ind w:left="24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CC496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(4)</w:t>
      </w:r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Arrangements with seafarers' welfare organizations to facilitate the access described in this section.</w:t>
      </w:r>
    </w:p>
    <w:p w14:paraId="140F4D22" w14:textId="77777777" w:rsidR="00CC496A" w:rsidRPr="00CC496A" w:rsidRDefault="00CC496A" w:rsidP="00CC496A">
      <w:pPr>
        <w:shd w:val="clear" w:color="auto" w:fill="FFFFFF"/>
        <w:spacing w:after="150" w:line="240" w:lineRule="auto"/>
        <w:ind w:left="24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CC496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(5)</w:t>
      </w:r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Monitored pedestrian access routes between the </w:t>
      </w:r>
      <w:hyperlink r:id="rId44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vessel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and </w:t>
      </w:r>
      <w:hyperlink r:id="rId45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facility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gate.</w:t>
      </w:r>
    </w:p>
    <w:p w14:paraId="2A0EC042" w14:textId="77777777" w:rsidR="00CC496A" w:rsidRPr="00CC496A" w:rsidRDefault="00CC496A" w:rsidP="00CC496A">
      <w:pPr>
        <w:shd w:val="clear" w:color="auto" w:fill="FFFFFF"/>
        <w:spacing w:after="150" w:line="240" w:lineRule="auto"/>
        <w:ind w:left="24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CC496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(6)</w:t>
      </w:r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A method, other than those in paragraphs (d)(1) through (5) of this section, approved by the </w:t>
      </w:r>
      <w:hyperlink r:id="rId46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COTP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.</w:t>
      </w:r>
    </w:p>
    <w:p w14:paraId="12F27294" w14:textId="77777777" w:rsidR="00CC496A" w:rsidRPr="00CC496A" w:rsidRDefault="00CC496A" w:rsidP="00CC496A">
      <w:pPr>
        <w:shd w:val="clear" w:color="auto" w:fill="FFFFFF"/>
        <w:spacing w:after="150" w:line="240" w:lineRule="auto"/>
        <w:ind w:left="24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CC496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(7)</w:t>
      </w:r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If an access method relies on a third party, a back-up access method that will be used if the third party is unable to or does not provide the required access in any instance. An </w:t>
      </w:r>
      <w:hyperlink r:id="rId47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owner or operator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must ensure that the access required in </w:t>
      </w:r>
      <w:hyperlink r:id="rId48" w:anchor="a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paragraph (a)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of this section is actually provided in all instances.</w:t>
      </w:r>
    </w:p>
    <w:p w14:paraId="7A225FFE" w14:textId="77777777" w:rsidR="00CC496A" w:rsidRPr="00CC496A" w:rsidRDefault="00CC496A" w:rsidP="00CC496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CC496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(e)</w:t>
      </w:r>
      <w:r w:rsidRPr="00CC496A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</w:rPr>
        <w:t>No cost to individuals.</w:t>
      </w:r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The </w:t>
      </w:r>
      <w:hyperlink r:id="rId49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facility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</w:t>
      </w:r>
      <w:hyperlink r:id="rId50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owner or operator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must provide the access described in this section at no cost to the individual to whom such access is provided.</w:t>
      </w:r>
    </w:p>
    <w:p w14:paraId="13C99760" w14:textId="77777777" w:rsidR="00CC496A" w:rsidRPr="00CC496A" w:rsidRDefault="00CC496A" w:rsidP="00CC496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CC496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(f)</w:t>
      </w:r>
      <w:r w:rsidRPr="00CC496A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</w:rPr>
        <w:t>Described in the Facility Security Plan (FSP).</w:t>
      </w:r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On or before February 3, 2020, the </w:t>
      </w:r>
      <w:hyperlink r:id="rId51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facility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</w:t>
      </w:r>
      <w:hyperlink r:id="rId52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owner or operator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must document the </w:t>
      </w:r>
      <w:hyperlink r:id="rId53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facility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's system for providing the access described in this section in the approved </w:t>
      </w:r>
      <w:hyperlink r:id="rId54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FSP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in accordance with </w:t>
      </w:r>
      <w:hyperlink r:id="rId55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§ 105.410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or </w:t>
      </w:r>
      <w:hyperlink r:id="rId56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§ 105.415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. The description of the </w:t>
      </w:r>
      <w:hyperlink r:id="rId57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facility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's system must include -</w:t>
      </w:r>
    </w:p>
    <w:p w14:paraId="37C0FA58" w14:textId="77777777" w:rsidR="00CC496A" w:rsidRPr="00CC496A" w:rsidRDefault="00CC496A" w:rsidP="00CC496A">
      <w:pPr>
        <w:shd w:val="clear" w:color="auto" w:fill="FFFFFF"/>
        <w:spacing w:after="150" w:line="240" w:lineRule="auto"/>
        <w:ind w:left="24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CC496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(1)</w:t>
      </w:r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Location of transit area(s) used for providing the access described in this section;</w:t>
      </w:r>
    </w:p>
    <w:p w14:paraId="0150CBDA" w14:textId="77777777" w:rsidR="00CC496A" w:rsidRPr="00CC496A" w:rsidRDefault="00CC496A" w:rsidP="00CC496A">
      <w:pPr>
        <w:shd w:val="clear" w:color="auto" w:fill="FFFFFF"/>
        <w:spacing w:after="150" w:line="240" w:lineRule="auto"/>
        <w:ind w:left="24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CC496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(2)</w:t>
      </w:r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Duties and number of </w:t>
      </w:r>
      <w:hyperlink r:id="rId58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facility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personnel assigned to each duty associated with providing the access described in this section;</w:t>
      </w:r>
    </w:p>
    <w:p w14:paraId="13A9216C" w14:textId="77777777" w:rsidR="00CC496A" w:rsidRPr="00CC496A" w:rsidRDefault="00CC496A" w:rsidP="00CC496A">
      <w:pPr>
        <w:shd w:val="clear" w:color="auto" w:fill="FFFFFF"/>
        <w:spacing w:after="150" w:line="240" w:lineRule="auto"/>
        <w:ind w:left="24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CC496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(3)</w:t>
      </w:r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Methods of </w:t>
      </w:r>
      <w:hyperlink r:id="rId59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escorting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and/or monitoring individuals transiting through the </w:t>
      </w:r>
      <w:hyperlink r:id="rId60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facility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;</w:t>
      </w:r>
    </w:p>
    <w:p w14:paraId="5A73DAB1" w14:textId="77777777" w:rsidR="00CC496A" w:rsidRPr="00CC496A" w:rsidRDefault="00CC496A" w:rsidP="00CC496A">
      <w:pPr>
        <w:shd w:val="clear" w:color="auto" w:fill="FFFFFF"/>
        <w:spacing w:after="150" w:line="240" w:lineRule="auto"/>
        <w:ind w:left="24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CC496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(4)</w:t>
      </w:r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Agreements or arrangements between the </w:t>
      </w:r>
      <w:hyperlink r:id="rId61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facility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and private parties, nonprofit organizations, or other parties, to facilitate the access described in this section; and</w:t>
      </w:r>
    </w:p>
    <w:p w14:paraId="29998EF5" w14:textId="77777777" w:rsidR="00CC496A" w:rsidRPr="00CC496A" w:rsidRDefault="00CC496A" w:rsidP="00CC496A">
      <w:pPr>
        <w:shd w:val="clear" w:color="auto" w:fill="FFFFFF"/>
        <w:spacing w:after="150" w:line="240" w:lineRule="auto"/>
        <w:ind w:left="24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CC496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(5)</w:t>
      </w:r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 Maximum length of time an individual would wait for the access described in this section, based on the provided access method(s).</w:t>
      </w:r>
    </w:p>
    <w:p w14:paraId="030E164A" w14:textId="77777777" w:rsidR="00CC496A" w:rsidRPr="00CC496A" w:rsidRDefault="00CC496A" w:rsidP="00CC49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lastRenderedPageBreak/>
        <w:t>[USCG-2013-1087, </w:t>
      </w:r>
      <w:hyperlink r:id="rId62" w:history="1">
        <w:r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84 FR 12119</w:t>
        </w:r>
      </w:hyperlink>
      <w:r w:rsidRPr="00CC496A">
        <w:rPr>
          <w:rFonts w:ascii="Verdana" w:eastAsia="Times New Roman" w:hAnsi="Verdana" w:cs="Times New Roman"/>
          <w:color w:val="333333"/>
          <w:sz w:val="24"/>
          <w:szCs w:val="24"/>
        </w:rPr>
        <w:t>, Apr. 1, 2019]</w:t>
      </w:r>
    </w:p>
    <w:p w14:paraId="2F59CA52" w14:textId="22B378BE" w:rsidR="00391964" w:rsidRDefault="00391964"/>
    <w:p w14:paraId="332E1D62" w14:textId="77777777" w:rsidR="00CC496A" w:rsidRPr="00CC496A" w:rsidRDefault="00841933" w:rsidP="00CC496A">
      <w:pPr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4"/>
          <w:szCs w:val="24"/>
        </w:rPr>
      </w:pPr>
      <w:hyperlink r:id="rId63" w:history="1">
        <w:r w:rsidR="00CC496A"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br/>
        </w:r>
        <w:proofErr w:type="spellStart"/>
        <w:r w:rsidR="00CC496A"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prev</w:t>
        </w:r>
        <w:proofErr w:type="spellEnd"/>
      </w:hyperlink>
      <w:r w:rsidR="00CC496A" w:rsidRPr="00CC496A">
        <w:rPr>
          <w:rFonts w:ascii="Verdana" w:eastAsia="Times New Roman" w:hAnsi="Verdana" w:cs="Times New Roman"/>
          <w:color w:val="333333"/>
          <w:sz w:val="24"/>
          <w:szCs w:val="24"/>
        </w:rPr>
        <w:t> | </w:t>
      </w:r>
      <w:hyperlink r:id="rId64" w:history="1">
        <w:r w:rsidR="00CC496A" w:rsidRPr="00CC496A">
          <w:rPr>
            <w:rFonts w:ascii="Verdana" w:eastAsia="Times New Roman" w:hAnsi="Verdana" w:cs="Times New Roman"/>
            <w:color w:val="337AB7"/>
            <w:sz w:val="24"/>
            <w:szCs w:val="24"/>
            <w:u w:val="single"/>
          </w:rPr>
          <w:t>next</w:t>
        </w:r>
      </w:hyperlink>
    </w:p>
    <w:p w14:paraId="47842644" w14:textId="77777777" w:rsidR="00CC496A" w:rsidRDefault="00CC496A" w:rsidP="00CC496A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9"/>
          <w:szCs w:val="29"/>
        </w:rPr>
      </w:pPr>
    </w:p>
    <w:p w14:paraId="7158A0CF" w14:textId="77777777" w:rsidR="00CC496A" w:rsidRDefault="00CC496A" w:rsidP="00CC496A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9"/>
          <w:szCs w:val="29"/>
        </w:rPr>
      </w:pPr>
    </w:p>
    <w:p w14:paraId="4D462C58" w14:textId="77777777" w:rsidR="00CC496A" w:rsidRDefault="00CC496A" w:rsidP="00CC496A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9"/>
          <w:szCs w:val="29"/>
        </w:rPr>
      </w:pPr>
    </w:p>
    <w:p w14:paraId="1E60B553" w14:textId="77777777" w:rsidR="00CC496A" w:rsidRDefault="00CC496A" w:rsidP="00CC496A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9"/>
          <w:szCs w:val="29"/>
        </w:rPr>
      </w:pPr>
    </w:p>
    <w:p w14:paraId="79F37B8D" w14:textId="77777777" w:rsidR="00CC496A" w:rsidRDefault="00CC496A" w:rsidP="00CC496A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9"/>
          <w:szCs w:val="29"/>
        </w:rPr>
      </w:pPr>
    </w:p>
    <w:p w14:paraId="4F6C2B72" w14:textId="77777777" w:rsidR="00CC496A" w:rsidRDefault="00CC496A" w:rsidP="00CC496A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9"/>
          <w:szCs w:val="29"/>
        </w:rPr>
      </w:pPr>
    </w:p>
    <w:p w14:paraId="34C3B246" w14:textId="77777777" w:rsidR="00CC496A" w:rsidRDefault="00CC496A" w:rsidP="00CC496A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9"/>
          <w:szCs w:val="29"/>
        </w:rPr>
      </w:pPr>
    </w:p>
    <w:p w14:paraId="20AED8AE" w14:textId="77777777" w:rsidR="00CC496A" w:rsidRDefault="00CC496A" w:rsidP="00CC496A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9"/>
          <w:szCs w:val="29"/>
        </w:rPr>
      </w:pPr>
    </w:p>
    <w:p w14:paraId="212CCE6E" w14:textId="77777777" w:rsidR="00CC496A" w:rsidRDefault="00CC496A" w:rsidP="00CC496A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9"/>
          <w:szCs w:val="29"/>
        </w:rPr>
      </w:pPr>
    </w:p>
    <w:p w14:paraId="1E0C134F" w14:textId="77777777" w:rsidR="00CC496A" w:rsidRDefault="00CC496A" w:rsidP="00CC496A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9"/>
          <w:szCs w:val="29"/>
        </w:rPr>
      </w:pPr>
    </w:p>
    <w:p w14:paraId="46071C81" w14:textId="77777777" w:rsidR="00CC496A" w:rsidRDefault="00CC496A" w:rsidP="00CC496A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9"/>
          <w:szCs w:val="29"/>
        </w:rPr>
      </w:pPr>
    </w:p>
    <w:p w14:paraId="5963DA4A" w14:textId="77777777" w:rsidR="00CC496A" w:rsidRDefault="00CC496A" w:rsidP="00CC496A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9"/>
          <w:szCs w:val="29"/>
        </w:rPr>
      </w:pPr>
    </w:p>
    <w:p w14:paraId="0F59D34B" w14:textId="77777777" w:rsidR="00CC496A" w:rsidRDefault="00CC496A" w:rsidP="00CC496A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9"/>
          <w:szCs w:val="29"/>
        </w:rPr>
      </w:pPr>
    </w:p>
    <w:p w14:paraId="4DF60CCA" w14:textId="77777777" w:rsidR="00CC496A" w:rsidRDefault="00CC496A" w:rsidP="00CC496A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9"/>
          <w:szCs w:val="29"/>
        </w:rPr>
      </w:pPr>
    </w:p>
    <w:p w14:paraId="323F818D" w14:textId="77777777" w:rsidR="00CC496A" w:rsidRDefault="00CC496A" w:rsidP="00CC496A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9"/>
          <w:szCs w:val="29"/>
        </w:rPr>
      </w:pPr>
    </w:p>
    <w:p w14:paraId="15C5BADE" w14:textId="77777777" w:rsidR="00CC496A" w:rsidRDefault="00CC496A" w:rsidP="00CC496A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9"/>
          <w:szCs w:val="29"/>
        </w:rPr>
      </w:pPr>
    </w:p>
    <w:p w14:paraId="28AF6212" w14:textId="77777777" w:rsidR="00CC496A" w:rsidRDefault="00CC496A" w:rsidP="00CC496A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9"/>
          <w:szCs w:val="29"/>
        </w:rPr>
      </w:pPr>
    </w:p>
    <w:p w14:paraId="47EDBC0D" w14:textId="77777777" w:rsidR="00CC496A" w:rsidRDefault="00CC496A" w:rsidP="00CC496A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9"/>
          <w:szCs w:val="29"/>
        </w:rPr>
      </w:pPr>
    </w:p>
    <w:p w14:paraId="629E253A" w14:textId="77777777" w:rsidR="00CC496A" w:rsidRDefault="00CC496A" w:rsidP="00CC496A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9"/>
          <w:szCs w:val="29"/>
        </w:rPr>
      </w:pPr>
    </w:p>
    <w:p w14:paraId="6F00AB0E" w14:textId="77777777" w:rsidR="00CC496A" w:rsidRDefault="00CC496A" w:rsidP="00CC496A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9"/>
          <w:szCs w:val="29"/>
        </w:rPr>
      </w:pPr>
    </w:p>
    <w:p w14:paraId="66C1CFA1" w14:textId="77777777" w:rsidR="00CC496A" w:rsidRDefault="00CC496A" w:rsidP="00CC496A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9"/>
          <w:szCs w:val="29"/>
        </w:rPr>
      </w:pPr>
    </w:p>
    <w:p w14:paraId="2D43376B" w14:textId="77777777" w:rsidR="00CC496A" w:rsidRDefault="00CC496A" w:rsidP="00CC496A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9"/>
          <w:szCs w:val="29"/>
        </w:rPr>
      </w:pPr>
    </w:p>
    <w:p w14:paraId="6C7FEFBB" w14:textId="77777777" w:rsidR="00CC496A" w:rsidRDefault="00CC496A" w:rsidP="00CC496A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9"/>
          <w:szCs w:val="29"/>
        </w:rPr>
      </w:pPr>
    </w:p>
    <w:p w14:paraId="04A906B4" w14:textId="77777777" w:rsidR="00CC496A" w:rsidRDefault="00CC496A" w:rsidP="00CC496A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9"/>
          <w:szCs w:val="29"/>
        </w:rPr>
      </w:pPr>
    </w:p>
    <w:sectPr w:rsidR="00CC496A">
      <w:headerReference w:type="default" r:id="rId6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8A62D" w14:textId="77777777" w:rsidR="00F503F8" w:rsidRDefault="00F503F8" w:rsidP="00391964">
      <w:pPr>
        <w:spacing w:after="0" w:line="240" w:lineRule="auto"/>
      </w:pPr>
      <w:r>
        <w:separator/>
      </w:r>
    </w:p>
  </w:endnote>
  <w:endnote w:type="continuationSeparator" w:id="0">
    <w:p w14:paraId="0A19FDA8" w14:textId="77777777" w:rsidR="00F503F8" w:rsidRDefault="00F503F8" w:rsidP="00391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63800" w14:textId="77777777" w:rsidR="00F503F8" w:rsidRDefault="00F503F8" w:rsidP="00391964">
      <w:pPr>
        <w:spacing w:after="0" w:line="240" w:lineRule="auto"/>
      </w:pPr>
      <w:r>
        <w:separator/>
      </w:r>
    </w:p>
  </w:footnote>
  <w:footnote w:type="continuationSeparator" w:id="0">
    <w:p w14:paraId="3A61CEC3" w14:textId="77777777" w:rsidR="00F503F8" w:rsidRDefault="00F503F8" w:rsidP="00391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1449A" w14:textId="5874918A" w:rsidR="00F503F8" w:rsidRPr="00B0555E" w:rsidRDefault="00F503F8" w:rsidP="00391964">
    <w:pPr>
      <w:shd w:val="clear" w:color="auto" w:fill="FFFFFF"/>
      <w:spacing w:before="300" w:after="150" w:line="240" w:lineRule="auto"/>
      <w:outlineLvl w:val="0"/>
      <w:rPr>
        <w:rFonts w:ascii="Verdana" w:eastAsia="Times New Roman" w:hAnsi="Verdana" w:cs="Times New Roman"/>
        <w:color w:val="333333"/>
        <w:kern w:val="36"/>
        <w:sz w:val="16"/>
        <w:szCs w:val="16"/>
      </w:rPr>
    </w:pPr>
    <w:r w:rsidRPr="00391964">
      <w:rPr>
        <w:rFonts w:ascii="Verdana" w:eastAsia="Times New Roman" w:hAnsi="Verdana" w:cs="Times New Roman"/>
        <w:color w:val="333333"/>
        <w:kern w:val="36"/>
        <w:sz w:val="32"/>
        <w:szCs w:val="32"/>
      </w:rPr>
      <w:t>33 CFR Part 105</w:t>
    </w:r>
    <w:r w:rsidR="00A5091F">
      <w:rPr>
        <w:rFonts w:ascii="Verdana" w:eastAsia="Times New Roman" w:hAnsi="Verdana" w:cs="Times New Roman"/>
        <w:color w:val="333333"/>
        <w:kern w:val="36"/>
        <w:sz w:val="32"/>
        <w:szCs w:val="32"/>
      </w:rPr>
      <w:t>.237</w:t>
    </w:r>
    <w:r w:rsidRPr="00391964">
      <w:rPr>
        <w:rFonts w:ascii="Verdana" w:eastAsia="Times New Roman" w:hAnsi="Verdana" w:cs="Times New Roman"/>
        <w:color w:val="333333"/>
        <w:kern w:val="36"/>
        <w:sz w:val="32"/>
        <w:szCs w:val="32"/>
      </w:rPr>
      <w:t xml:space="preserve"> </w:t>
    </w:r>
    <w:r w:rsidR="00A5091F">
      <w:rPr>
        <w:rFonts w:ascii="Verdana" w:eastAsia="Times New Roman" w:hAnsi="Verdana" w:cs="Times New Roman"/>
        <w:color w:val="333333"/>
        <w:kern w:val="36"/>
        <w:sz w:val="32"/>
        <w:szCs w:val="32"/>
      </w:rPr>
      <w:t>–</w:t>
    </w:r>
    <w:r w:rsidRPr="00391964">
      <w:rPr>
        <w:rFonts w:ascii="Verdana" w:eastAsia="Times New Roman" w:hAnsi="Verdana" w:cs="Times New Roman"/>
        <w:color w:val="333333"/>
        <w:kern w:val="36"/>
        <w:sz w:val="32"/>
        <w:szCs w:val="32"/>
      </w:rPr>
      <w:t xml:space="preserve"> </w:t>
    </w:r>
    <w:r w:rsidR="00A5091F">
      <w:rPr>
        <w:rFonts w:ascii="Verdana" w:eastAsia="Times New Roman" w:hAnsi="Verdana" w:cs="Times New Roman"/>
        <w:color w:val="333333"/>
        <w:kern w:val="36"/>
        <w:sz w:val="32"/>
        <w:szCs w:val="32"/>
      </w:rPr>
      <w:t>System for Seafarer’s Access</w:t>
    </w:r>
    <w:r w:rsidR="00B0555E">
      <w:rPr>
        <w:rFonts w:ascii="Verdana" w:eastAsia="Times New Roman" w:hAnsi="Verdana" w:cs="Times New Roman"/>
        <w:color w:val="333333"/>
        <w:kern w:val="36"/>
        <w:sz w:val="32"/>
        <w:szCs w:val="32"/>
      </w:rPr>
      <w:t xml:space="preserve"> </w:t>
    </w:r>
    <w:r w:rsidR="00B0555E" w:rsidRPr="00B0555E">
      <w:rPr>
        <w:rFonts w:ascii="Verdana" w:eastAsia="Times New Roman" w:hAnsi="Verdana" w:cs="Times New Roman"/>
        <w:color w:val="333333"/>
        <w:kern w:val="36"/>
        <w:sz w:val="16"/>
        <w:szCs w:val="16"/>
      </w:rPr>
      <w:t>9-</w:t>
    </w:r>
    <w:r w:rsidR="00B0555E">
      <w:rPr>
        <w:rFonts w:ascii="Verdana" w:eastAsia="Times New Roman" w:hAnsi="Verdana" w:cs="Times New Roman"/>
        <w:color w:val="333333"/>
        <w:kern w:val="36"/>
        <w:sz w:val="16"/>
        <w:szCs w:val="16"/>
      </w:rPr>
      <w:t>01</w:t>
    </w:r>
    <w:r w:rsidR="00B0555E" w:rsidRPr="00B0555E">
      <w:rPr>
        <w:rFonts w:ascii="Verdana" w:eastAsia="Times New Roman" w:hAnsi="Verdana" w:cs="Times New Roman"/>
        <w:color w:val="333333"/>
        <w:kern w:val="36"/>
        <w:sz w:val="16"/>
        <w:szCs w:val="16"/>
      </w:rPr>
      <w:t>-19</w:t>
    </w:r>
  </w:p>
  <w:p w14:paraId="75BD73E9" w14:textId="77777777" w:rsidR="00F503F8" w:rsidRDefault="00F503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52861"/>
    <w:multiLevelType w:val="multilevel"/>
    <w:tmpl w:val="A7B8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319AC"/>
    <w:multiLevelType w:val="multilevel"/>
    <w:tmpl w:val="019C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293AC9"/>
    <w:multiLevelType w:val="multilevel"/>
    <w:tmpl w:val="D258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76728"/>
    <w:multiLevelType w:val="multilevel"/>
    <w:tmpl w:val="7A00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B86AC9"/>
    <w:multiLevelType w:val="multilevel"/>
    <w:tmpl w:val="C176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17D9F"/>
    <w:multiLevelType w:val="multilevel"/>
    <w:tmpl w:val="4428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957CDC"/>
    <w:multiLevelType w:val="multilevel"/>
    <w:tmpl w:val="CACC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FE2C8A"/>
    <w:multiLevelType w:val="multilevel"/>
    <w:tmpl w:val="C248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897E67"/>
    <w:multiLevelType w:val="multilevel"/>
    <w:tmpl w:val="36EE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644845"/>
    <w:multiLevelType w:val="multilevel"/>
    <w:tmpl w:val="63DA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487614"/>
    <w:multiLevelType w:val="multilevel"/>
    <w:tmpl w:val="40C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0363A6"/>
    <w:multiLevelType w:val="multilevel"/>
    <w:tmpl w:val="6286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1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64"/>
    <w:rsid w:val="001C6D6D"/>
    <w:rsid w:val="00354E3F"/>
    <w:rsid w:val="00391964"/>
    <w:rsid w:val="00446ED7"/>
    <w:rsid w:val="00841933"/>
    <w:rsid w:val="008D52F9"/>
    <w:rsid w:val="00986A8A"/>
    <w:rsid w:val="00A5091F"/>
    <w:rsid w:val="00AD4CF4"/>
    <w:rsid w:val="00B0555E"/>
    <w:rsid w:val="00CC496A"/>
    <w:rsid w:val="00F503F8"/>
    <w:rsid w:val="00FB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42986"/>
  <w15:chartTrackingRefBased/>
  <w15:docId w15:val="{075884FD-87AB-458F-8DFE-991EFFC6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1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64"/>
  </w:style>
  <w:style w:type="paragraph" w:styleId="Footer">
    <w:name w:val="footer"/>
    <w:basedOn w:val="Normal"/>
    <w:link w:val="FooterChar"/>
    <w:uiPriority w:val="99"/>
    <w:unhideWhenUsed/>
    <w:rsid w:val="00391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64"/>
  </w:style>
  <w:style w:type="paragraph" w:customStyle="1" w:styleId="tocitem">
    <w:name w:val="tocitem"/>
    <w:basedOn w:val="Normal"/>
    <w:rsid w:val="0039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919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ection-1">
    <w:name w:val="psection-1"/>
    <w:basedOn w:val="Normal"/>
    <w:rsid w:val="0039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xml">
    <w:name w:val="enumxml"/>
    <w:basedOn w:val="DefaultParagraphFont"/>
    <w:rsid w:val="00391964"/>
  </w:style>
  <w:style w:type="paragraph" w:customStyle="1" w:styleId="psection-2">
    <w:name w:val="psection-2"/>
    <w:basedOn w:val="Normal"/>
    <w:rsid w:val="0039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ection-3">
    <w:name w:val="psection-3"/>
    <w:basedOn w:val="Normal"/>
    <w:rsid w:val="0039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t03">
    <w:name w:val="et03"/>
    <w:basedOn w:val="DefaultParagraphFont"/>
    <w:rsid w:val="00391964"/>
  </w:style>
  <w:style w:type="character" w:customStyle="1" w:styleId="Heading1Char">
    <w:name w:val="Heading 1 Char"/>
    <w:basedOn w:val="DefaultParagraphFont"/>
    <w:link w:val="Heading1"/>
    <w:uiPriority w:val="9"/>
    <w:rsid w:val="003919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ctive">
    <w:name w:val="active"/>
    <w:basedOn w:val="Normal"/>
    <w:rsid w:val="0039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19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52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103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6" w:space="8" w:color="EEEEEE"/>
                        <w:bottom w:val="single" w:sz="6" w:space="8" w:color="EEEEEE"/>
                        <w:right w:val="single" w:sz="6" w:space="8" w:color="EEEEEE"/>
                      </w:divBdr>
                      <w:divsChild>
                        <w:div w:id="171246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1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EEEEE"/>
                                <w:left w:val="none" w:sz="0" w:space="0" w:color="auto"/>
                                <w:bottom w:val="none" w:sz="0" w:space="11" w:color="auto"/>
                                <w:right w:val="none" w:sz="0" w:space="0" w:color="auto"/>
                              </w:divBdr>
                              <w:divsChild>
                                <w:div w:id="92183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9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1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90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3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77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6" w:space="8" w:color="EEEEEE"/>
                        <w:bottom w:val="single" w:sz="6" w:space="8" w:color="EEEEEE"/>
                        <w:right w:val="single" w:sz="6" w:space="8" w:color="EEEEEE"/>
                      </w:divBdr>
                      <w:divsChild>
                        <w:div w:id="72321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EEEEE"/>
                                <w:left w:val="none" w:sz="0" w:space="0" w:color="auto"/>
                                <w:bottom w:val="none" w:sz="0" w:space="11" w:color="auto"/>
                                <w:right w:val="none" w:sz="0" w:space="0" w:color="auto"/>
                              </w:divBdr>
                              <w:divsChild>
                                <w:div w:id="1365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57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47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53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5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65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6" w:space="8" w:color="EEEEEE"/>
                        <w:bottom w:val="single" w:sz="6" w:space="8" w:color="EEEEEE"/>
                        <w:right w:val="single" w:sz="6" w:space="8" w:color="EEEEEE"/>
                      </w:divBdr>
                      <w:divsChild>
                        <w:div w:id="211998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07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EEEEE"/>
                                <w:left w:val="none" w:sz="0" w:space="0" w:color="auto"/>
                                <w:bottom w:val="none" w:sz="0" w:space="11" w:color="auto"/>
                                <w:right w:val="none" w:sz="0" w:space="0" w:color="auto"/>
                              </w:divBdr>
                              <w:divsChild>
                                <w:div w:id="115737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44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31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91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6513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  <w:divsChild>
            <w:div w:id="4566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4747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6215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3778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  <w:divsChild>
            <w:div w:id="8343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4335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332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4272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  <w:divsChild>
            <w:div w:id="11402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2471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70151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5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689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51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6" w:space="8" w:color="EEEEEE"/>
                        <w:bottom w:val="single" w:sz="6" w:space="8" w:color="EEEEEE"/>
                        <w:right w:val="single" w:sz="6" w:space="8" w:color="EEEEEE"/>
                      </w:divBdr>
                      <w:divsChild>
                        <w:div w:id="192900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EEEEE"/>
                                <w:left w:val="none" w:sz="0" w:space="0" w:color="auto"/>
                                <w:bottom w:val="none" w:sz="0" w:space="11" w:color="auto"/>
                                <w:right w:val="none" w:sz="0" w:space="0" w:color="auto"/>
                              </w:divBdr>
                              <w:divsChild>
                                <w:div w:id="72622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36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7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8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54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6" w:space="8" w:color="EEEEEE"/>
                        <w:bottom w:val="single" w:sz="6" w:space="8" w:color="EEEEEE"/>
                        <w:right w:val="single" w:sz="6" w:space="8" w:color="EEEEEE"/>
                      </w:divBdr>
                      <w:divsChild>
                        <w:div w:id="121235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EEEEE"/>
                                <w:left w:val="none" w:sz="0" w:space="0" w:color="auto"/>
                                <w:bottom w:val="none" w:sz="0" w:space="11" w:color="auto"/>
                                <w:right w:val="none" w:sz="0" w:space="0" w:color="auto"/>
                              </w:divBdr>
                              <w:divsChild>
                                <w:div w:id="183109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37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5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95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3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2414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  <w:divsChild>
            <w:div w:id="20458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7969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9216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6766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  <w:divsChild>
            <w:div w:id="8590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2791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7655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2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7200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aw.cornell.edu/cfr/text/33/105.237" TargetMode="External"/><Relationship Id="rId18" Type="http://schemas.openxmlformats.org/officeDocument/2006/relationships/hyperlink" Target="https://www.law.cornell.edu/cfr/text/33/105.237" TargetMode="External"/><Relationship Id="rId26" Type="http://schemas.openxmlformats.org/officeDocument/2006/relationships/hyperlink" Target="https://www.law.cornell.edu/cfr/text/33/105.237" TargetMode="External"/><Relationship Id="rId39" Type="http://schemas.openxmlformats.org/officeDocument/2006/relationships/hyperlink" Target="https://www.law.cornell.edu/cfr/text/33/105.237" TargetMode="External"/><Relationship Id="rId21" Type="http://schemas.openxmlformats.org/officeDocument/2006/relationships/hyperlink" Target="https://www.law.cornell.edu/cfr/text/33/105.237" TargetMode="External"/><Relationship Id="rId34" Type="http://schemas.openxmlformats.org/officeDocument/2006/relationships/hyperlink" Target="https://www.law.cornell.edu/cfr/text/33/105.237" TargetMode="External"/><Relationship Id="rId42" Type="http://schemas.openxmlformats.org/officeDocument/2006/relationships/hyperlink" Target="https://www.law.cornell.edu/cfr/text/33/105.237" TargetMode="External"/><Relationship Id="rId47" Type="http://schemas.openxmlformats.org/officeDocument/2006/relationships/hyperlink" Target="https://www.law.cornell.edu/cfr/text/33/105.237" TargetMode="External"/><Relationship Id="rId50" Type="http://schemas.openxmlformats.org/officeDocument/2006/relationships/hyperlink" Target="https://www.law.cornell.edu/cfr/text/33/105.237" TargetMode="External"/><Relationship Id="rId55" Type="http://schemas.openxmlformats.org/officeDocument/2006/relationships/hyperlink" Target="https://www.law.cornell.edu/cfr/text/33/105.410" TargetMode="External"/><Relationship Id="rId63" Type="http://schemas.openxmlformats.org/officeDocument/2006/relationships/hyperlink" Target="https://www.law.cornell.edu/cfr/text/33/105.240" TargetMode="External"/><Relationship Id="rId7" Type="http://schemas.openxmlformats.org/officeDocument/2006/relationships/hyperlink" Target="https://www.law.cornell.edu/cfr/text/33/105.23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aw.cornell.edu/cfr/text/33/105.237" TargetMode="External"/><Relationship Id="rId29" Type="http://schemas.openxmlformats.org/officeDocument/2006/relationships/hyperlink" Target="https://www.law.cornell.edu/cfr/text/33/105.23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w.cornell.edu/cfr/text/33/105.237" TargetMode="External"/><Relationship Id="rId24" Type="http://schemas.openxmlformats.org/officeDocument/2006/relationships/hyperlink" Target="https://www.law.cornell.edu/cfr/text/33/105.237" TargetMode="External"/><Relationship Id="rId32" Type="http://schemas.openxmlformats.org/officeDocument/2006/relationships/hyperlink" Target="https://www.law.cornell.edu/cfr/text/33/105.237" TargetMode="External"/><Relationship Id="rId37" Type="http://schemas.openxmlformats.org/officeDocument/2006/relationships/hyperlink" Target="https://www.law.cornell.edu/cfr/text/33/105.237" TargetMode="External"/><Relationship Id="rId40" Type="http://schemas.openxmlformats.org/officeDocument/2006/relationships/hyperlink" Target="https://www.law.cornell.edu/cfr/text/33/105.237" TargetMode="External"/><Relationship Id="rId45" Type="http://schemas.openxmlformats.org/officeDocument/2006/relationships/hyperlink" Target="https://www.law.cornell.edu/cfr/text/33/105.237" TargetMode="External"/><Relationship Id="rId53" Type="http://schemas.openxmlformats.org/officeDocument/2006/relationships/hyperlink" Target="https://www.law.cornell.edu/cfr/text/33/105.237" TargetMode="External"/><Relationship Id="rId58" Type="http://schemas.openxmlformats.org/officeDocument/2006/relationships/hyperlink" Target="https://www.law.cornell.edu/cfr/text/33/105.237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law.cornell.edu/cfr/text/33/105.237" TargetMode="External"/><Relationship Id="rId23" Type="http://schemas.openxmlformats.org/officeDocument/2006/relationships/hyperlink" Target="https://www.law.cornell.edu/cfr/text/33/105.237" TargetMode="External"/><Relationship Id="rId28" Type="http://schemas.openxmlformats.org/officeDocument/2006/relationships/hyperlink" Target="https://www.law.cornell.edu/cfr/text/33/105.237" TargetMode="External"/><Relationship Id="rId36" Type="http://schemas.openxmlformats.org/officeDocument/2006/relationships/hyperlink" Target="https://www.law.cornell.edu/cfr/text/33/105.237" TargetMode="External"/><Relationship Id="rId49" Type="http://schemas.openxmlformats.org/officeDocument/2006/relationships/hyperlink" Target="https://www.law.cornell.edu/cfr/text/33/105.237" TargetMode="External"/><Relationship Id="rId57" Type="http://schemas.openxmlformats.org/officeDocument/2006/relationships/hyperlink" Target="https://www.law.cornell.edu/cfr/text/33/105.237" TargetMode="External"/><Relationship Id="rId61" Type="http://schemas.openxmlformats.org/officeDocument/2006/relationships/hyperlink" Target="https://www.law.cornell.edu/cfr/text/33/105.237" TargetMode="External"/><Relationship Id="rId10" Type="http://schemas.openxmlformats.org/officeDocument/2006/relationships/hyperlink" Target="https://www.law.cornell.edu/cfr/text/33/105.237" TargetMode="External"/><Relationship Id="rId19" Type="http://schemas.openxmlformats.org/officeDocument/2006/relationships/hyperlink" Target="https://www.law.cornell.edu/cfr/text/33/105.237" TargetMode="External"/><Relationship Id="rId31" Type="http://schemas.openxmlformats.org/officeDocument/2006/relationships/hyperlink" Target="https://www.law.cornell.edu/cfr/text/33/105.237" TargetMode="External"/><Relationship Id="rId44" Type="http://schemas.openxmlformats.org/officeDocument/2006/relationships/hyperlink" Target="https://www.law.cornell.edu/cfr/text/33/105.237" TargetMode="External"/><Relationship Id="rId52" Type="http://schemas.openxmlformats.org/officeDocument/2006/relationships/hyperlink" Target="https://www.law.cornell.edu/cfr/text/33/105.237" TargetMode="External"/><Relationship Id="rId60" Type="http://schemas.openxmlformats.org/officeDocument/2006/relationships/hyperlink" Target="https://www.law.cornell.edu/cfr/text/33/105.237" TargetMode="External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aw.cornell.edu/cfr/text/33/105.237" TargetMode="External"/><Relationship Id="rId14" Type="http://schemas.openxmlformats.org/officeDocument/2006/relationships/hyperlink" Target="https://www.law.cornell.edu/cfr/text/33/105.237" TargetMode="External"/><Relationship Id="rId22" Type="http://schemas.openxmlformats.org/officeDocument/2006/relationships/hyperlink" Target="https://www.law.cornell.edu/cfr/text/33/105.237" TargetMode="External"/><Relationship Id="rId27" Type="http://schemas.openxmlformats.org/officeDocument/2006/relationships/hyperlink" Target="https://www.law.cornell.edu/cfr/text/33/105.237" TargetMode="External"/><Relationship Id="rId30" Type="http://schemas.openxmlformats.org/officeDocument/2006/relationships/hyperlink" Target="https://www.law.cornell.edu/cfr/text/33/105.237" TargetMode="External"/><Relationship Id="rId35" Type="http://schemas.openxmlformats.org/officeDocument/2006/relationships/hyperlink" Target="https://www.law.cornell.edu/cfr/text/33/105.237" TargetMode="External"/><Relationship Id="rId43" Type="http://schemas.openxmlformats.org/officeDocument/2006/relationships/hyperlink" Target="https://www.law.cornell.edu/cfr/text/33/105.237" TargetMode="External"/><Relationship Id="rId48" Type="http://schemas.openxmlformats.org/officeDocument/2006/relationships/hyperlink" Target="https://www.law.cornell.edu/cfr/text/33/105.237" TargetMode="External"/><Relationship Id="rId56" Type="http://schemas.openxmlformats.org/officeDocument/2006/relationships/hyperlink" Target="https://www.law.cornell.edu/cfr/text/33/105.415" TargetMode="External"/><Relationship Id="rId64" Type="http://schemas.openxmlformats.org/officeDocument/2006/relationships/hyperlink" Target="https://www.law.cornell.edu/cfr/text/33/105.250" TargetMode="External"/><Relationship Id="rId8" Type="http://schemas.openxmlformats.org/officeDocument/2006/relationships/hyperlink" Target="https://www.law.cornell.edu/cfr/text/33/105.237" TargetMode="External"/><Relationship Id="rId51" Type="http://schemas.openxmlformats.org/officeDocument/2006/relationships/hyperlink" Target="https://www.law.cornell.edu/cfr/text/33/105.23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law.cornell.edu/cfr/text/33/105.237" TargetMode="External"/><Relationship Id="rId17" Type="http://schemas.openxmlformats.org/officeDocument/2006/relationships/hyperlink" Target="https://www.law.cornell.edu/cfr/text/33/105.237" TargetMode="External"/><Relationship Id="rId25" Type="http://schemas.openxmlformats.org/officeDocument/2006/relationships/hyperlink" Target="https://www.law.cornell.edu/cfr/text/33/105.237" TargetMode="External"/><Relationship Id="rId33" Type="http://schemas.openxmlformats.org/officeDocument/2006/relationships/hyperlink" Target="https://www.law.cornell.edu/cfr/text/33/105.237" TargetMode="External"/><Relationship Id="rId38" Type="http://schemas.openxmlformats.org/officeDocument/2006/relationships/hyperlink" Target="https://www.law.cornell.edu/cfr/text/33/105.237" TargetMode="External"/><Relationship Id="rId46" Type="http://schemas.openxmlformats.org/officeDocument/2006/relationships/hyperlink" Target="https://www.law.cornell.edu/cfr/text/33/105.237" TargetMode="External"/><Relationship Id="rId59" Type="http://schemas.openxmlformats.org/officeDocument/2006/relationships/hyperlink" Target="https://www.law.cornell.edu/cfr/text/33/105.237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law.cornell.edu/cfr/text/33/105.237" TargetMode="External"/><Relationship Id="rId41" Type="http://schemas.openxmlformats.org/officeDocument/2006/relationships/hyperlink" Target="https://www.law.cornell.edu/cfr/text/33/105.237" TargetMode="External"/><Relationship Id="rId54" Type="http://schemas.openxmlformats.org/officeDocument/2006/relationships/hyperlink" Target="https://www.law.cornell.edu/cfr/text/33/105.237" TargetMode="External"/><Relationship Id="rId62" Type="http://schemas.openxmlformats.org/officeDocument/2006/relationships/hyperlink" Target="https://www.law.cornell.edu/rio/citation/84_FR_12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6766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Acosta</dc:creator>
  <cp:keywords/>
  <dc:description/>
  <cp:lastModifiedBy>Lester Millet III</cp:lastModifiedBy>
  <cp:revision>2</cp:revision>
  <cp:lastPrinted>2019-09-11T14:49:00Z</cp:lastPrinted>
  <dcterms:created xsi:type="dcterms:W3CDTF">2019-09-16T14:00:00Z</dcterms:created>
  <dcterms:modified xsi:type="dcterms:W3CDTF">2019-09-16T14:00:00Z</dcterms:modified>
</cp:coreProperties>
</file>